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595E" w:rsidRDefault="00F27D9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Prof. Adam Witkowski: Miejmy świadomość, że koronawirus uszkadza serce</w:t>
      </w:r>
    </w:p>
    <w:p w14:paraId="00000002" w14:textId="77777777" w:rsidR="00BB595E" w:rsidRDefault="00BB595E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BB595E" w:rsidRDefault="00BB595E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 dotychczas dostępnych danych z Wuhan z Chin wynika, że różnego rodzaju choroby sercowo-naczyniowe były obecne w prawie 50 proc.  przypadków pacjentów, którzy zachorowali na COVID-19, a aż w 70 proc. u tych pacjentów, którzy zmarli. Podobnie jest z poszcz</w:t>
      </w:r>
      <w:r>
        <w:rPr>
          <w:rFonts w:ascii="Arial" w:eastAsia="Arial" w:hAnsi="Arial" w:cs="Arial"/>
          <w:b/>
          <w:color w:val="000000"/>
          <w:sz w:val="22"/>
          <w:szCs w:val="22"/>
        </w:rPr>
        <w:t>ególnymi chorobami sercowo-naczyniowymi - nadciśnienie tętnicze stwierdzono u 30 proc. wszystkich pacjentów, którzy zachorowali na infekcję spowodowaną koronawirusem, natomiast aż u 48 proc. pacjentów, którzy nie przeżyli. Chorzy, którzy mają choroby serco</w:t>
      </w:r>
      <w:r>
        <w:rPr>
          <w:rFonts w:ascii="Arial" w:eastAsia="Arial" w:hAnsi="Arial" w:cs="Arial"/>
          <w:b/>
          <w:color w:val="000000"/>
          <w:sz w:val="22"/>
          <w:szCs w:val="22"/>
        </w:rPr>
        <w:t>wo-naczyniowe, takie jak nadciśnienie tętnicze czy są po przebytym zawale lub mają cukrzycę są zdecydowanie bardziej narażeni na zgon z powodu koronawirusa niż pacjenci, którzy tych chorób nie mają. To nie koniec niepokojących informacji. Wirus jest nie ty</w:t>
      </w:r>
      <w:r>
        <w:rPr>
          <w:rFonts w:ascii="Arial" w:eastAsia="Arial" w:hAnsi="Arial" w:cs="Arial"/>
          <w:b/>
          <w:color w:val="000000"/>
          <w:sz w:val="22"/>
          <w:szCs w:val="22"/>
        </w:rPr>
        <w:t>lko niebezpieczny dla pacjentów z chorobami współistniejącymi. Obserwacje wskazują również na to, że może nieodwracalnie uszkadzać serce u osób wcześniej zdrowych. </w:t>
      </w:r>
    </w:p>
    <w:p w14:paraId="00000005" w14:textId="77777777" w:rsidR="00BB595E" w:rsidRDefault="00BB595E">
      <w:pPr>
        <w:rPr>
          <w:rFonts w:ascii="Times New Roman" w:eastAsia="Times New Roman" w:hAnsi="Times New Roman" w:cs="Times New Roman"/>
        </w:rPr>
      </w:pPr>
    </w:p>
    <w:p w14:paraId="00000006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Fundacja Instytut Świadomości prowadzi społeczną kampanię edukacyjną “Pacjent ze Świadomoś</w:t>
      </w:r>
      <w:r>
        <w:rPr>
          <w:rFonts w:ascii="Arial" w:eastAsia="Arial" w:hAnsi="Arial" w:cs="Arial"/>
          <w:color w:val="000000"/>
          <w:sz w:val="22"/>
          <w:szCs w:val="22"/>
        </w:rPr>
        <w:t>cią”, w ramach której najwybitniejsi przedstawiciele medycyny, rynku ochrony zdrowia i pacjentów wspierają przekazywanie rzetelnych i istotnych w danym schorzeniu informacji. Prezes Polskiego Towarzystwa Kardiologicznego i Dyrektor Warsaw Course on Cardiov</w:t>
      </w:r>
      <w:r>
        <w:rPr>
          <w:rFonts w:ascii="Arial" w:eastAsia="Arial" w:hAnsi="Arial" w:cs="Arial"/>
          <w:color w:val="000000"/>
          <w:sz w:val="22"/>
          <w:szCs w:val="22"/>
        </w:rPr>
        <w:t>ascvular Interventions, prof. Adam Witkowski, zwraca uwagę na związane z pandemią koronawirusa niebezpieczeństwa dla serca nie tylko pacjentów kardiologicznych, ale również osób młodych i zdrowych. </w:t>
      </w:r>
    </w:p>
    <w:p w14:paraId="00000007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08" w14:textId="0437BD3B" w:rsidR="00BB595E" w:rsidRDefault="00F27D97">
      <w:pPr>
        <w:numPr>
          <w:ilvl w:val="0"/>
          <w:numId w:val="4"/>
        </w:numPr>
        <w:jc w:val="both"/>
        <w:rPr>
          <w:color w:val="000000"/>
        </w:rPr>
      </w:pP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Na ciężki przebieg infekcji koronawirusa składa się wie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le czynników. Z jednej strony w większości przypadków pacjenci, którzy cierpią na choroby sercowo-naczyniowe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,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są osobami starszymi, w związku z tym mają gorsze funkcjonowanie układu immunologicznego, który jest zdolny zwalczać infekcje, ale również jest to 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spowodowane tym, że sam wirus może atakować komórki serca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F27D97">
        <w:rPr>
          <w:rFonts w:ascii="Arial" w:eastAsia="Arial" w:hAnsi="Arial" w:cs="Arial"/>
          <w:color w:val="000000"/>
          <w:sz w:val="22"/>
          <w:szCs w:val="22"/>
        </w:rPr>
        <w:t>- tłumaczy prof. Witkowski.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D</w:t>
      </w:r>
      <w:bookmarkStart w:id="0" w:name="_GoBack"/>
      <w:bookmarkEnd w:id="0"/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latego, że receptory, przez które wirus wnika do komórek płuc -  receptory ACE2 - występują też w komórkach mięśnia sercowego, jak również w komórkach nerek czy śródb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łonka naczyń.</w:t>
      </w:r>
      <w:r w:rsidRPr="00F27D9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Wirus SARS-Cov-2 może też uszkadzać komórki mięśnia sercowego przez powodowanie tzw. „sztormu cytokinowego” spowodowanego przez spaczoną odpowiedź limfocytów typu T-helper na infekcję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- dodaje profesor.</w:t>
      </w:r>
    </w:p>
    <w:p w14:paraId="00000009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0A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To może wyjaśniać fakt, że chorzy se</w:t>
      </w:r>
      <w:r>
        <w:rPr>
          <w:rFonts w:ascii="Arial" w:eastAsia="Arial" w:hAnsi="Arial" w:cs="Arial"/>
          <w:color w:val="000000"/>
          <w:sz w:val="22"/>
          <w:szCs w:val="22"/>
        </w:rPr>
        <w:t>rcowo-naczyniowi są bardziej podatni na infekcję wirusem COVID-19, ale również mogą mieć cięższy przebieg choroby, dlatego, że na ich już uszkodzone serce, dokłada się uszkodzenie komórek serca spowodowane wirusem. Są pacjentami wyższego ryzyka zgonu. </w:t>
      </w:r>
    </w:p>
    <w:p w14:paraId="0000000B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0C" w14:textId="77777777" w:rsidR="00BB595E" w:rsidRDefault="00F27D97">
      <w:pPr>
        <w:numPr>
          <w:ilvl w:val="0"/>
          <w:numId w:val="5"/>
        </w:numPr>
        <w:jc w:val="both"/>
        <w:rPr>
          <w:color w:val="000000"/>
        </w:rPr>
      </w:pP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K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oronawirus powoduje, że komórki w sercu zaczynają obumierać i całe serce zaczyna coraz gorzej funkcjonować. Wiemy, że sama infekcja wirusem u osób, które nawet nie mają chorób sercowo-naczyniowych może spowodować takie uszkodzenie serca, że frakcja wyrzuca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nia lewej komory bardzo spada i chorzy muszą być leczeni tak, jak w przebiegu ostrego zapalenia mięśnia sercowego, czyli muszą dostawać glikokortykosteroidy, immunoglobuliny, być na wspomaganiu krażenia, muszą dostawać leki, które wymuszają utrzymanie ciśn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ienia tętniczego. To, że COVID-19 uszkadza komórki mięśnia sercowego jest już niestety potwierdzone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wyjaśnia prof. Witkowski. </w:t>
      </w:r>
    </w:p>
    <w:p w14:paraId="0000000D" w14:textId="77777777" w:rsidR="00BB595E" w:rsidRDefault="00BB595E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Zagrożenie koronawirusem dla pacjentów sercowych jest podwójne. Chorzy sercowi ciężej przechodzą śródmiąższowe zapalenie płuc </w:t>
      </w:r>
      <w:r>
        <w:rPr>
          <w:rFonts w:ascii="Arial" w:eastAsia="Arial" w:hAnsi="Arial" w:cs="Arial"/>
          <w:color w:val="000000"/>
          <w:sz w:val="22"/>
          <w:szCs w:val="22"/>
        </w:rPr>
        <w:t>i częściej wymagają podłączenia do respiratora. Z drugiej strony niebezpieczny jest mechanizm bezpośredniego uszkadzania mięśnia sercowego przez wirusa, co w przypadku pacjentów kardiologicznych, zwłaszcza w starszym wieku, może skończyć się tragicznie. </w:t>
      </w:r>
    </w:p>
    <w:p w14:paraId="0000000F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0" w14:textId="6835D58F" w:rsidR="00BB595E" w:rsidRDefault="00F27D97">
      <w:pPr>
        <w:numPr>
          <w:ilvl w:val="0"/>
          <w:numId w:val="6"/>
        </w:numPr>
        <w:jc w:val="both"/>
        <w:rPr>
          <w:color w:val="000000"/>
        </w:rPr>
      </w:pP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Wiek ma ogromne znaczenie. Wiemy, że śmiertelność u osób poniżej 50 roku życia z powodu infekcji koronawirusa to ok. 1 proc., a rośnie już do 1,5 proc. dla osób pow. 50 lat. Następnie wzrasta do 3,6 proc. dla osób pow. 60 lat i aż do 8 proc. u osób pow. l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at 70 i tak dalej. Im wyższy wiek, tym większe ryzyko zgonu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mówi prof. Witkowski. </w:t>
      </w:r>
    </w:p>
    <w:p w14:paraId="00000011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2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Koronawirus może spowodować ciężką niewydolność serca nawet u osób nie cierpiących w danym momencie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 choroby sercowo-naczyniow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poprzez wniknięcie do komórek mięśnia sercowego przez receptory ACE2. Takie same receptory występują w komórkach pęcherzyków płucnych. Mechanizm infekcji i uszkodzenia organów jest więc taki sam. </w:t>
      </w:r>
    </w:p>
    <w:p w14:paraId="00000013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4" w14:textId="70AE4263" w:rsidR="00BB595E" w:rsidRDefault="00F27D97">
      <w:pPr>
        <w:numPr>
          <w:ilvl w:val="0"/>
          <w:numId w:val="1"/>
        </w:numPr>
        <w:jc w:val="both"/>
        <w:rPr>
          <w:color w:val="000000"/>
        </w:rPr>
      </w:pP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Ciężka niewydolność serca z powodu koronawirusa u osób z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drowych zdarza się stosunkowo rzadko, ale jest możliwa. Zdecydowanie częściej niewydolność serca występuje u chorych w zaawansowanym wieku, z nadciśnieniem tętniczym, po zawale serca lub z cukrzycą. Ciężki przebieg infekcji uszkadzający serce może też mieć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podłoże genetyczne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tłumaczy prof. Witkowski. </w:t>
      </w:r>
    </w:p>
    <w:p w14:paraId="00000015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6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Nie są znane jeszcze wszystkie zagrożenia dla poszczególnych grup pacjentów kardiologicznych związane z zakażeniem wirusem COVID-19. Wydaje się, że jedną z najbardziej zagrożonych grup pacjentów kardiolog</w:t>
      </w:r>
      <w:r>
        <w:rPr>
          <w:rFonts w:ascii="Arial" w:eastAsia="Arial" w:hAnsi="Arial" w:cs="Arial"/>
          <w:color w:val="000000"/>
          <w:sz w:val="22"/>
          <w:szCs w:val="22"/>
        </w:rPr>
        <w:t>icznych mogą być chorzy na TNP (tętnicze nadciśnienie płucne).</w:t>
      </w:r>
    </w:p>
    <w:p w14:paraId="00000017" w14:textId="77777777" w:rsidR="00BB595E" w:rsidRPr="00F27D97" w:rsidRDefault="00F27D97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8" w14:textId="424F20E8" w:rsidR="00BB595E" w:rsidRDefault="00F27D97">
      <w:pPr>
        <w:numPr>
          <w:ilvl w:val="0"/>
          <w:numId w:val="2"/>
        </w:numPr>
        <w:jc w:val="both"/>
        <w:rPr>
          <w:color w:val="000000"/>
        </w:rPr>
      </w:pP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Na razie nie mamy potwierdzonych informacji, że TNP jest szczególnym czynnikiem ryzyka zgonu z powodu infekcji koronawirusem, ale logiczne jest, że ci pacjenci mogą być szczególnie narażeni na ciężki przebieg choroby COVID-19, ponieważ mają już uszkodzone 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serce z powodu pierwotnego nadciśnienia płucnego albo z powodu nadciśnienia płucnego, które jest wtórne do uszkodzenia mięśnia lewej komory serca, bo może być i tak,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i tak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mówi prof. Witkowski. </w:t>
      </w:r>
    </w:p>
    <w:p w14:paraId="00000019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A" w14:textId="77777777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Fundacja Instytut Świadomości zwraca szczególną uwagę na </w:t>
      </w:r>
      <w:r>
        <w:rPr>
          <w:rFonts w:ascii="Arial" w:eastAsia="Arial" w:hAnsi="Arial" w:cs="Arial"/>
          <w:color w:val="000000"/>
          <w:sz w:val="22"/>
          <w:szCs w:val="22"/>
        </w:rPr>
        <w:t>konieczność uświadomienia pacjentów kardiologicznych nie tylko w zakresie zagrożeń, ale i również możliwości dedykowanego leczenia chorych sercowych już zakażonych wirusem. Obecnie nie ma specjalnych terapii przeznaczonych tym grupom pacjentów, są oni lecz</w:t>
      </w:r>
      <w:r>
        <w:rPr>
          <w:rFonts w:ascii="Arial" w:eastAsia="Arial" w:hAnsi="Arial" w:cs="Arial"/>
          <w:color w:val="000000"/>
          <w:sz w:val="22"/>
          <w:szCs w:val="22"/>
        </w:rPr>
        <w:t>eni standardowo, prof. Witkowski tłumaczy, że epidemia trwa jeszcze za krótko, by różnicować leczenie pacjentom z różnymi chorobami współistniejącymi. </w:t>
      </w:r>
    </w:p>
    <w:p w14:paraId="0000001B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0000001C" w14:textId="4839821B" w:rsidR="00BB595E" w:rsidRDefault="00F27D97">
      <w:pPr>
        <w:numPr>
          <w:ilvl w:val="0"/>
          <w:numId w:val="3"/>
        </w:numPr>
        <w:jc w:val="both"/>
        <w:rPr>
          <w:color w:val="000000"/>
        </w:rPr>
      </w:pP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Aktualnie nie ma dedykowanego pacjentom kardiologicznym leczenia w sytuacji zakażenia koronawirusem. P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rzez jakiś czas mówiło się, że niebezpieczne może być stosowanie u pacjentów z nadciśnieniem tętniczym lub niewydolnością serca inhibitorów enzymu konwertującego angiot</w:t>
      </w:r>
      <w:r w:rsidRPr="00F27D97">
        <w:rPr>
          <w:rFonts w:ascii="Arial" w:eastAsia="Arial" w:hAnsi="Arial" w:cs="Arial"/>
          <w:i/>
          <w:iCs/>
          <w:sz w:val="22"/>
          <w:szCs w:val="22"/>
        </w:rPr>
        <w:t>e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nsyn</w:t>
      </w:r>
      <w:r w:rsidRPr="00F27D97">
        <w:rPr>
          <w:rFonts w:ascii="Arial" w:eastAsia="Arial" w:hAnsi="Arial" w:cs="Arial"/>
          <w:i/>
          <w:iCs/>
          <w:sz w:val="22"/>
          <w:szCs w:val="22"/>
        </w:rPr>
        <w:t>ę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(ACE), który jest homologiem receptora ACE2. Leki blokujące ten enzym hamują konw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ersję angiotensyny 2 w angiotensynę 1, ale na razie nie mamy potwierdzenia, że ich stosowanie, podobnie jak stosowanie bezpośrednich blokerów angiotensyny, może być szkodliwe u pacjentów z 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lastRenderedPageBreak/>
        <w:t>COVID-19. Obecnie zalecenia wszystkich towarzystw naukowych są taki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e, aby u pacjentów z nadciśnieniem tętniczym kontynuować standardową terapię kardiologiczną, ponieważ odstawienie podstawowych leków w nadciśnieniu tętniczym mogłoby być bardziej niebezpieczne dla pacjenta niż infekcja koronawirusem, stąd należy je stosowa</w:t>
      </w:r>
      <w:r w:rsidRPr="00F27D97">
        <w:rPr>
          <w:rFonts w:ascii="Arial" w:eastAsia="Arial" w:hAnsi="Arial" w:cs="Arial"/>
          <w:i/>
          <w:iCs/>
          <w:color w:val="000000"/>
          <w:sz w:val="22"/>
          <w:szCs w:val="22"/>
        </w:rPr>
        <w:t>ć cały czas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podkreśla prof. Witkowski. </w:t>
      </w:r>
    </w:p>
    <w:p w14:paraId="0000001D" w14:textId="77777777" w:rsidR="00BB595E" w:rsidRDefault="00F27D97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</w:r>
    </w:p>
    <w:p w14:paraId="1A9E9286" w14:textId="77777777" w:rsidR="00F27D97" w:rsidRDefault="00F27D9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Profesor uważa, że jedyną oczywistą zmianą w obecnej sytuacji w leczeniu pacjentów kardiologicznych jest to, że chorego z potwierdzonym koronawirusem, a nawet przebywającego na kwarantannie należy od razu, w prz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ypadku stwierdzenia zaostrzenia objawów choroby kardiologicznej, kierować do szpitala jednoimiennego, czyli zakaźnego i tam kontynuować lub zintensyfikować terapię kardiologiczną. </w:t>
      </w:r>
    </w:p>
    <w:p w14:paraId="0000001E" w14:textId="61412112" w:rsidR="00BB595E" w:rsidRDefault="00F27D97">
      <w:pP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F" w14:textId="77777777" w:rsidR="00BB595E" w:rsidRDefault="00BB595E">
      <w:pPr>
        <w:rPr>
          <w:rFonts w:ascii="Times New Roman" w:eastAsia="Times New Roman" w:hAnsi="Times New Roman" w:cs="Times New Roman"/>
        </w:rPr>
      </w:pPr>
    </w:p>
    <w:p w14:paraId="00000020" w14:textId="77777777" w:rsidR="00BB595E" w:rsidRDefault="00F27D9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Źródło:</w:t>
      </w:r>
    </w:p>
    <w:p w14:paraId="00000021" w14:textId="77777777" w:rsidR="00BB595E" w:rsidRDefault="00F27D9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Fundacja Instytut Świadomości w ramach projektu “Pacjent ze Świad</w:t>
      </w:r>
      <w:r>
        <w:rPr>
          <w:rFonts w:ascii="Arial" w:eastAsia="Arial" w:hAnsi="Arial" w:cs="Arial"/>
          <w:b/>
          <w:sz w:val="22"/>
          <w:szCs w:val="22"/>
        </w:rPr>
        <w:t xml:space="preserve">omością” </w:t>
      </w:r>
    </w:p>
    <w:p w14:paraId="00000022" w14:textId="77777777" w:rsidR="00BB595E" w:rsidRDefault="00BB595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3" w14:textId="77777777" w:rsidR="00BB595E" w:rsidRDefault="00BB595E"/>
    <w:sectPr w:rsidR="00BB595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227"/>
    <w:multiLevelType w:val="multilevel"/>
    <w:tmpl w:val="1812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7160A3"/>
    <w:multiLevelType w:val="multilevel"/>
    <w:tmpl w:val="47CA7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4F90BF2"/>
    <w:multiLevelType w:val="multilevel"/>
    <w:tmpl w:val="DD84C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808071D"/>
    <w:multiLevelType w:val="multilevel"/>
    <w:tmpl w:val="2266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0F235E4"/>
    <w:multiLevelType w:val="multilevel"/>
    <w:tmpl w:val="6EA8A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2D8649C"/>
    <w:multiLevelType w:val="multilevel"/>
    <w:tmpl w:val="FA74E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5E"/>
    <w:rsid w:val="00BB595E"/>
    <w:rsid w:val="00F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D05E"/>
  <w15:docId w15:val="{90AEE08D-FAB7-41F1-90DC-E4799E5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k.borys@cdsr.pl</cp:lastModifiedBy>
  <cp:revision>2</cp:revision>
  <dcterms:created xsi:type="dcterms:W3CDTF">2020-03-30T11:38:00Z</dcterms:created>
  <dcterms:modified xsi:type="dcterms:W3CDTF">2020-03-30T11:42:00Z</dcterms:modified>
</cp:coreProperties>
</file>